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鄂州发改审批〔202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sz w:val="36"/>
          <w:szCs w:val="36"/>
        </w:rPr>
      </w:pPr>
      <w:r>
        <w:rPr>
          <w:rFonts w:hint="default" w:ascii="Times New Roman" w:hAnsi="Times New Roman" w:cs="Times New Roman"/>
          <w:sz w:val="36"/>
          <w:szCs w:val="36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关于梁子湖区2023年农村人居环境整治项目可行性研究报告的批复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梁子湖区农业农村局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你单位《关于请求批复梁子湖区2023年农村人居环境整治项目可行性研究报告的请示》（梁农文〔2023〕18号）及相关材料收悉。根据专家审查意见，经研究，原则同意梁子湖区2023年农村人居环境整治项目可行性研究报告（项目代码：2302-420702-04-01-695832）。现批复如下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一、项目建设的必要性：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为切实改善梁子湖区农村人居环境，推动梁子湖区全国生态文明示范区创建，加强梁子湖区饮用水源保护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，实施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梁子湖区2023年农村人居环境整治项目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十分必要。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二、项目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建设单位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梁子湖区农业农村局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三、项目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建设地点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：鄂州市梁子湖区涂家垴镇、梁子镇共 9个村， 分别为王桥村、徐桥村、斗山村、官塘村、下杨村、官田村、太平村、白云村、毛塘村。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四、建设规模及内容：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1.农村生活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垃圾治理：覆盖9个行政村，包括新建1个垃圾处理站，新增易腐垃圾堆肥点、厨余垃圾回收点、厨余垃圾处理中心等垃圾回收处理设施，实现农村生活垃圾治理全覆盖。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农村生活污水治理：覆盖9个行政村，重点对未建设农村生活污水处理站的村湾进行改造，实现农村生活污水处理全覆盖。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五、建设工期：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2023年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月—2023年12月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六、投资估算及资金来源：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项目概算总投资21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55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万元，其中第一部分工程费用为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1820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万元，建设工程其他费用为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211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万元，预备费为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124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万元；资金来源为申请中央预算内投资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和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地方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配套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接文后，请严格按照基本建设程序，尽快完善项目前期工作，落实各项建设条件，争取项目早日实施，发挥社会效益。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附件： 工程招投标事项核准表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                        </w:t>
      </w:r>
      <w:r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鄂州市发展和改革委员会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                                  2023年2月1日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textAlignment w:val="auto"/>
        <w:outlineLvl w:val="9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u w:val="single"/>
          <w:lang w:val="en-US" w:eastAsia="zh-CN" w:bidi="ar-SA"/>
        </w:rPr>
        <w:t>鄂州市发展和改革委员会             2023年2月1日印发</w:t>
      </w:r>
    </w:p>
    <w:p>
      <w:pPr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eastAsia="zh-CN"/>
        </w:rPr>
        <w:t>附件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  <w:lang w:eastAsia="zh-CN"/>
        </w:rPr>
        <w:t>工程</w:t>
      </w:r>
      <w:r>
        <w:rPr>
          <w:rFonts w:hint="eastAsia" w:ascii="黑体" w:hAnsi="黑体" w:eastAsia="黑体" w:cs="黑体"/>
          <w:b w:val="0"/>
          <w:bCs/>
          <w:kern w:val="0"/>
          <w:sz w:val="36"/>
          <w:szCs w:val="36"/>
        </w:rPr>
        <w:t>招投标事项核准表</w:t>
      </w: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建设项目名称：</w:t>
      </w:r>
      <w:r>
        <w:rPr>
          <w:rFonts w:hint="default" w:ascii="仿宋" w:hAnsi="仿宋" w:eastAsia="仿宋" w:cs="仿宋"/>
          <w:sz w:val="28"/>
          <w:szCs w:val="28"/>
          <w:lang w:eastAsia="zh-CN"/>
        </w:rPr>
        <w:t>梁子湖区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2023年农村人居环境整治项目</w:t>
      </w:r>
    </w:p>
    <w:tbl>
      <w:tblPr>
        <w:tblStyle w:val="9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028"/>
        <w:gridCol w:w="1045"/>
        <w:gridCol w:w="1056"/>
        <w:gridCol w:w="1017"/>
        <w:gridCol w:w="1042"/>
        <w:gridCol w:w="918"/>
        <w:gridCol w:w="10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400" w:type="dxa"/>
            <w:vMerge w:val="restart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7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招标范围</w:t>
            </w:r>
          </w:p>
        </w:tc>
        <w:tc>
          <w:tcPr>
            <w:tcW w:w="2073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招标组织形式</w:t>
            </w:r>
          </w:p>
        </w:tc>
        <w:tc>
          <w:tcPr>
            <w:tcW w:w="196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招标方式</w:t>
            </w:r>
          </w:p>
        </w:tc>
        <w:tc>
          <w:tcPr>
            <w:tcW w:w="1072" w:type="dxa"/>
            <w:vMerge w:val="restart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不采用招标方式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400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2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全部</w:t>
            </w:r>
          </w:p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</w:t>
            </w:r>
          </w:p>
        </w:tc>
        <w:tc>
          <w:tcPr>
            <w:tcW w:w="1045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部分</w:t>
            </w:r>
          </w:p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</w:t>
            </w:r>
          </w:p>
        </w:tc>
        <w:tc>
          <w:tcPr>
            <w:tcW w:w="1056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自行</w:t>
            </w:r>
          </w:p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</w:t>
            </w:r>
          </w:p>
        </w:tc>
        <w:tc>
          <w:tcPr>
            <w:tcW w:w="101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委托</w:t>
            </w:r>
          </w:p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</w:t>
            </w:r>
          </w:p>
        </w:tc>
        <w:tc>
          <w:tcPr>
            <w:tcW w:w="104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公开</w:t>
            </w:r>
          </w:p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</w:t>
            </w:r>
          </w:p>
        </w:tc>
        <w:tc>
          <w:tcPr>
            <w:tcW w:w="91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邀请</w:t>
            </w:r>
          </w:p>
          <w:p>
            <w:pPr>
              <w:ind w:firstLine="0" w:firstLineChars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招标</w:t>
            </w:r>
          </w:p>
        </w:tc>
        <w:tc>
          <w:tcPr>
            <w:tcW w:w="1072" w:type="dxa"/>
            <w:vMerge w:val="continue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exact"/>
        </w:trPr>
        <w:tc>
          <w:tcPr>
            <w:tcW w:w="1400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勘察</w:t>
            </w:r>
          </w:p>
        </w:tc>
        <w:tc>
          <w:tcPr>
            <w:tcW w:w="1028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5" w:type="dxa"/>
            <w:vAlign w:val="center"/>
          </w:tcPr>
          <w:p>
            <w:pPr>
              <w:ind w:firstLine="56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2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918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400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设计</w:t>
            </w:r>
          </w:p>
        </w:tc>
        <w:tc>
          <w:tcPr>
            <w:tcW w:w="1028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5" w:type="dxa"/>
            <w:vAlign w:val="center"/>
          </w:tcPr>
          <w:p>
            <w:pPr>
              <w:ind w:firstLine="560"/>
              <w:jc w:val="both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2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918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</w:trPr>
        <w:tc>
          <w:tcPr>
            <w:tcW w:w="14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建筑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</w:t>
            </w:r>
          </w:p>
        </w:tc>
        <w:tc>
          <w:tcPr>
            <w:tcW w:w="102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5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918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4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安装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工程</w:t>
            </w:r>
          </w:p>
          <w:p>
            <w:pPr>
              <w:ind w:firstLine="560" w:firstLineChars="20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工程</w:t>
            </w:r>
          </w:p>
        </w:tc>
        <w:tc>
          <w:tcPr>
            <w:tcW w:w="102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45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56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918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1400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监理</w:t>
            </w:r>
          </w:p>
        </w:tc>
        <w:tc>
          <w:tcPr>
            <w:tcW w:w="102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5" w:type="dxa"/>
            <w:vAlign w:val="center"/>
          </w:tcPr>
          <w:p>
            <w:pPr>
              <w:ind w:left="0" w:leftChars="0" w:firstLine="280" w:firstLineChars="100"/>
              <w:jc w:val="both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056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2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918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4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设备</w:t>
            </w:r>
          </w:p>
          <w:p>
            <w:pPr>
              <w:ind w:firstLine="560" w:firstLineChars="20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设备</w:t>
            </w:r>
          </w:p>
        </w:tc>
        <w:tc>
          <w:tcPr>
            <w:tcW w:w="102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5" w:type="dxa"/>
            <w:vAlign w:val="center"/>
          </w:tcPr>
          <w:p>
            <w:pPr>
              <w:ind w:firstLine="560" w:firstLineChars="20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918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exact"/>
        </w:trPr>
        <w:tc>
          <w:tcPr>
            <w:tcW w:w="14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重要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材料</w:t>
            </w:r>
          </w:p>
          <w:p>
            <w:pPr>
              <w:ind w:firstLine="560" w:firstLineChars="20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材料</w:t>
            </w:r>
          </w:p>
        </w:tc>
        <w:tc>
          <w:tcPr>
            <w:tcW w:w="102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5" w:type="dxa"/>
            <w:vAlign w:val="center"/>
          </w:tcPr>
          <w:p>
            <w:pPr>
              <w:ind w:firstLine="560" w:firstLineChars="20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918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1400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其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它</w:t>
            </w:r>
          </w:p>
        </w:tc>
        <w:tc>
          <w:tcPr>
            <w:tcW w:w="1028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5" w:type="dxa"/>
            <w:vAlign w:val="center"/>
          </w:tcPr>
          <w:p>
            <w:pPr>
              <w:ind w:firstLine="560" w:firstLineChars="200"/>
              <w:jc w:val="both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56" w:type="dxa"/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17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1042" w:type="dxa"/>
            <w:vAlign w:val="center"/>
          </w:tcPr>
          <w:p>
            <w:pPr>
              <w:ind w:firstLine="0" w:firstLineChars="0"/>
              <w:jc w:val="center"/>
              <w:rPr>
                <w:rFonts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√</w:t>
            </w:r>
          </w:p>
        </w:tc>
        <w:tc>
          <w:tcPr>
            <w:tcW w:w="918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2" w:type="dxa"/>
            <w:vAlign w:val="center"/>
          </w:tcPr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</w:trPr>
        <w:tc>
          <w:tcPr>
            <w:tcW w:w="8578" w:type="dxa"/>
            <w:gridSpan w:val="8"/>
            <w:vAlign w:val="center"/>
          </w:tcPr>
          <w:p>
            <w:pPr>
              <w:ind w:firstLine="0" w:firstLineChars="0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审批部门核准意见说明：</w:t>
            </w: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核    准</w:t>
            </w:r>
          </w:p>
          <w:p>
            <w:pPr>
              <w:ind w:firstLine="560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>
            <w:pPr>
              <w:ind w:firstLine="56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</w:t>
            </w:r>
            <w:r>
              <w:rPr>
                <w:rFonts w:ascii="仿宋" w:hAnsi="仿宋" w:eastAsia="仿宋"/>
                <w:sz w:val="28"/>
                <w:szCs w:val="28"/>
              </w:rPr>
              <w:t>审批部门盖章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</w:t>
            </w:r>
          </w:p>
          <w:p>
            <w:pPr>
              <w:ind w:firstLine="5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2023</w:t>
            </w: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bookmarkStart w:id="0" w:name="_GoBack"/>
      <w:bookmarkEnd w:id="0"/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咩咩体简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旗黑-30简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汉仪楷体S">
    <w:altName w:val="楷体_GB2312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猴嗨森体简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综艺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Bitstream Charte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宋体-GB18030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Noto Music">
    <w:altName w:val="Yu Gothic UI"/>
    <w:panose1 w:val="020B0502040504020204"/>
    <w:charset w:val="00"/>
    <w:family w:val="auto"/>
    <w:pitch w:val="default"/>
    <w:sig w:usb0="00000000" w:usb1="00000000" w:usb2="01000000" w:usb3="00000000" w:csb0="00000001" w:csb1="00000000"/>
  </w:font>
  <w:font w:name="Noto Sans Anatolian Hieroglyphs">
    <w:altName w:val="Yu Gothic UI"/>
    <w:panose1 w:val="020B0502040504020204"/>
    <w:charset w:val="00"/>
    <w:family w:val="auto"/>
    <w:pitch w:val="default"/>
    <w:sig w:usb0="00000000" w:usb1="00000000" w:usb2="00000000" w:usb3="00000000" w:csb0="0000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u Gothic UI">
    <w:panose1 w:val="020B0500000000000000"/>
    <w:charset w:val="00"/>
    <w:family w:val="auto"/>
    <w:pitch w:val="default"/>
    <w:sig w:usb0="E00002FF" w:usb1="2AC7FDFF" w:usb2="00000016" w:usb3="00000000" w:csb0="2002009F" w:csb1="00000000"/>
  </w:font>
  <w:font w:name="Yu Gothic UI">
    <w:panose1 w:val="020B0500000000000000"/>
    <w:charset w:val="00"/>
    <w:family w:val="auto"/>
    <w:pitch w:val="default"/>
    <w:sig w:usb0="E00002FF" w:usb1="2AC7FDFF" w:usb2="00000016" w:usb3="00000000" w:csb0="2002009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A31C44"/>
    <w:rsid w:val="10CC3ACC"/>
    <w:rsid w:val="15203251"/>
    <w:rsid w:val="164F43C0"/>
    <w:rsid w:val="1D241CF8"/>
    <w:rsid w:val="24C848DD"/>
    <w:rsid w:val="29CC54FE"/>
    <w:rsid w:val="2CAF2A0F"/>
    <w:rsid w:val="2ECB156C"/>
    <w:rsid w:val="2EDD240D"/>
    <w:rsid w:val="2FE21CA2"/>
    <w:rsid w:val="336E0534"/>
    <w:rsid w:val="33D706F0"/>
    <w:rsid w:val="34C43C92"/>
    <w:rsid w:val="35DED44D"/>
    <w:rsid w:val="3C853F56"/>
    <w:rsid w:val="3EFF2CB1"/>
    <w:rsid w:val="41FB1D00"/>
    <w:rsid w:val="45BB5C66"/>
    <w:rsid w:val="46F5427E"/>
    <w:rsid w:val="47A31C44"/>
    <w:rsid w:val="51E668B4"/>
    <w:rsid w:val="5735170C"/>
    <w:rsid w:val="5B3D0612"/>
    <w:rsid w:val="5E1E0F76"/>
    <w:rsid w:val="62D1211B"/>
    <w:rsid w:val="6D1A07CD"/>
    <w:rsid w:val="7AD70D35"/>
    <w:rsid w:val="7BE04B73"/>
    <w:rsid w:val="DFD79551"/>
    <w:rsid w:val="F5FFA4E9"/>
    <w:rsid w:val="F7BF4890"/>
    <w:rsid w:val="F9EF6C32"/>
    <w:rsid w:val="FABFAA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2022-11-13T14:59:00Z</dcterms:created>
  <dc:creator>方翠兰</dc:creator>
  <cp:lastModifiedBy>郑惠萍</cp:lastModifiedBy>
  <cp:lastPrinted>2022-11-23T08:37:00Z</cp:lastPrinted>
  <dcterms:modified xsi:type="dcterms:W3CDTF">2023-02-01T06:05:49Z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