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关于《鄂州市城市绿化实施办法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br w:type="textWrapping"/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（草案）》的起草说明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按照《鄂州市人民政府办公室关于印发2021政府规章及规范性文件制定（修改）计划&gt;的通知》（鄂州政办函〔2021〕11号）要求，我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委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起草了《鄂州市城市绿化实施办法（草案）》（以下简称《办法（草案）》），现将《办法（草案）》起草有关情况说明如下：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</w:rPr>
        <w:t>一、制定城市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绿化管理办法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</w:rPr>
        <w:t>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制定城市绿化实施办法是落实“五位一体”总体布局的实际行动。党的十八大以来，以习近平同志为核心的党中央高度重视生态文明建设，将生态文明建设纳入“五位一体”总体布局。城市绿化是城市生态和城市特色的有效载体，对于改善城镇面貌和人居环境，优化投资环境，提升城镇综合竞争力，推动生态文明建设，具有十分重要的作用。以立法的形式，保护好、管理好城市绿化，既是加强生态环境保护的具体举措，也是改善人居环境提高人民群众绿色发展获得感的现实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制定城市绿化实施办法是依法保护城市绿化建设成果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和实现城市绿化精细化管理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的现实需要。鄂州市2010年获国家园林城市称号，2021年9月通过了住建部复查，保留国家园林城市称号。截止2020年底，我市建成区绿化覆盖率43.23%、绿地率37.94%、人均公园绿地面积15.57㎡，均远远高于国家园林城市的系列标准（绿化覆盖率36%、绿地率31%、人均公园绿地面积9㎡）。一方面我市城市绿化事业不断发展,绿化成果显著，生态环境在持续改善，需要通过立法保护园林绿化建设成果。另一方面随着武鄂同城化的发展，我市原有的城市绿化建设标准已不符合现实需要，为提升城市绿化品质，需要新的立法予以推动和有效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发展、保护城市园林绿化建设成果，是制定城市园林绿化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实施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办法的出发点和重要目标。当前我市城市绿化保护管理中仍存在一些突出问题：一是绿化管理责任落实不到位，尚未形成完善的绿化保护责任体系，相关部门职权不明、责任不清；二是工程建设、生产生活与绿化保护的矛盾依然突出，毁绿占绿现象时有发生，缺乏补偿标准和制约机制；三是绿化保护浓厚氛围尚未形成，对于破坏绿化行为处罚规定不够明确或缺乏处罚依据，没有形成法律震慑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基于以上，为促进城市绿化事业的健康有序发展，提升绿化行政主管部门管理的合规性，保证法律、法规的有效实施，亟待制定一部符合我市实际的城市绿化方面的政府规章。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</w:rPr>
        <w:t>《办法（草案）》起草的过程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在《办法（草案）》起草过程中，为参考、吸收先进实践经验，2019年6月18日至21日，2021年10月12日至15日，市城管委成立调研工作小组，分别对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武汉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宜昌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许昌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城市进行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sz w:val="28"/>
          <w:szCs w:val="28"/>
        </w:rPr>
        <w:t>考察调研。期间，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委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组织专班从我市城市绿化的实际情况出发，综合分析我市绿化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规划、建设、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管理现状，对《办法（草案）》内容的针对性和可行性进行了反复论证，并在市城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委系统内征求意见，采纳了可行的意见和建议，形成《办法（草案）》送审，力争《办法（草案）》有地方特色、针对性强、操作性强。有关事项说明如下：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15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《办法（草案）》的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《中华人民共和国城乡规划法》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《中华人民共和国行政处罚法》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《城市绿化条例》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《城市绿化规划建设指标的规定》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《国家园林城市标准》《国家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生态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园林城市标准》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《城市园林评价标准》等国家标准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15" w:lineRule="auto"/>
        <w:ind w:firstLine="560" w:firstLineChars="200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《城市绿地设计规范》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《居住区规划与设计规范》《城市道路绿化规范与设计规范》等规范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《湖北省城市绿化实施办法》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15" w:lineRule="auto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</w:rPr>
        <w:t>、《办法（草案）》的主要内容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《办法（草案）》共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章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五十九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条，分为总则、规划和建设、保护和管理、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监督和检查、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法律责任、附则。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总则部分（第一条至第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条），明确了制定《办法》的目的、适用范围、部门职责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原则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等内容；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规划和建设部分（第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条至第二十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条），明确了城市绿化规划、建设责任主体及绿化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规划、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建设要求；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保护和管理部分（第二十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条至第四十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条）），明确了城市绿化的管理责任主体、绿化保护管理措施，禁止损害绿化和绿化设施的行为及城市绿化方面的许可行为；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15" w:lineRule="auto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监督和检查部分（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第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五十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条至第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五十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四条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），明确了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城市绿化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的监督检查主体、监督检查内容和监督渠道等；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15" w:lineRule="auto"/>
        <w:ind w:firstLine="560" w:firstLineChars="200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法律责任部分（第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五十五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条至第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五十七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条），明确了违反绿化工程建设要求、违反规定占用绿地、损毁绿化、损坏绿化设施等行为的法律责任和处罚措施及标准等内容；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附则部分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第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五十五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条至第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五十七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条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，是对特定词语的界定和《办法》的解释、适用、施行问题予以规定。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</w:rPr>
        <w:t>、需要说明的问题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一是关于管理和执法主体。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按照政府机构改革现状，我市城市绿化行政主管部门和集中行使行政处罚权的行政机关，是市城市管理执法委员会，各区经批准也由同样的部门行使这一管理和执法权。因此，《办法（草案）》规定“市、区人民政府城市管理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部门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是城市绿化行政主管部门”,相关违反《办法》的行为由市、区城市绿化行政主管部门予以处罚。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二是《办法（草案）》中对相关行为的罚款处罚标准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依据国务院《城市绿化条例》，对违反城市绿化规划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建设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保护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管理规定的行为明确了处罚的种类和幅度，针对损害城市绿化和绿化设施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不按照规定标准进行绿化规划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建设、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擅自侵占绿地等行为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设立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处罚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条款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。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本次立法将各种处罚行为、种类和幅度予以明确是为了保障立法后准确实施，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具体处罚的标准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的确定是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严格按照《湖北省人大常委会关于政府规章设定行政处罚罚款限额的规定》来制定，未超过政府规章行政处罚的限额规定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15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三是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《办法（草案）》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重点参考借鉴武汉市城市绿化立法的法律体系和框架，结合鄂州市城市绿化具体实际情况进行起草，以适应武鄂同城化发展相关需求。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00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15" w:lineRule="auto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15" w:lineRule="auto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15" w:lineRule="auto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鄂州市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城市管理执法委员会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      2021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107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3C37C3"/>
    <w:multiLevelType w:val="singleLevel"/>
    <w:tmpl w:val="C43C37C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A794B"/>
    <w:rsid w:val="000B7840"/>
    <w:rsid w:val="000F58E8"/>
    <w:rsid w:val="00177EC2"/>
    <w:rsid w:val="002B0E4A"/>
    <w:rsid w:val="002B7ACF"/>
    <w:rsid w:val="003013F8"/>
    <w:rsid w:val="00496648"/>
    <w:rsid w:val="004A5DD6"/>
    <w:rsid w:val="00622BCD"/>
    <w:rsid w:val="006332A7"/>
    <w:rsid w:val="00703AA1"/>
    <w:rsid w:val="007E1AA4"/>
    <w:rsid w:val="00885413"/>
    <w:rsid w:val="00AD7E0A"/>
    <w:rsid w:val="00B41565"/>
    <w:rsid w:val="00C46446"/>
    <w:rsid w:val="00D11D83"/>
    <w:rsid w:val="00D62AF4"/>
    <w:rsid w:val="06C4357C"/>
    <w:rsid w:val="0E377815"/>
    <w:rsid w:val="0ECE3B22"/>
    <w:rsid w:val="0EE12538"/>
    <w:rsid w:val="194414D6"/>
    <w:rsid w:val="20F519F0"/>
    <w:rsid w:val="26344593"/>
    <w:rsid w:val="2A105D4E"/>
    <w:rsid w:val="31BB3C59"/>
    <w:rsid w:val="33D447A7"/>
    <w:rsid w:val="360271BE"/>
    <w:rsid w:val="36A51B1E"/>
    <w:rsid w:val="38960400"/>
    <w:rsid w:val="3A0B34DC"/>
    <w:rsid w:val="4ED7384F"/>
    <w:rsid w:val="4F69642B"/>
    <w:rsid w:val="5E6F20BD"/>
    <w:rsid w:val="5E785B74"/>
    <w:rsid w:val="5F7A794B"/>
    <w:rsid w:val="611A2374"/>
    <w:rsid w:val="67FA6832"/>
    <w:rsid w:val="6FEC1C2A"/>
    <w:rsid w:val="7254717E"/>
    <w:rsid w:val="72AF3444"/>
    <w:rsid w:val="736F18FD"/>
    <w:rsid w:val="7ED45BE9"/>
    <w:rsid w:val="7F23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374</Words>
  <Characters>2137</Characters>
  <Lines>17</Lines>
  <Paragraphs>5</Paragraphs>
  <TotalTime>5</TotalTime>
  <ScaleCrop>false</ScaleCrop>
  <LinksUpToDate>false</LinksUpToDate>
  <CharactersWithSpaces>2506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2021-10-20T21:25:00Z</dcterms:created>
  <dc:creator>鄂州曹正华律师</dc:creator>
  <cp:lastModifiedBy>Administrator</cp:lastModifiedBy>
  <cp:lastPrinted>2021-10-21T00:42:00Z</cp:lastPrinted>
  <dcterms:modified xsi:type="dcterms:W3CDTF">2021-10-29T10:14:46Z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A6C61BED220A4296B4A83DAAABEC790E</vt:lpwstr>
  </property>
</Properties>
</file>