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F793">
      <w:pPr>
        <w:spacing w:before="143" w:line="219" w:lineRule="auto"/>
        <w:ind w:left="0"/>
        <w:jc w:val="both"/>
        <w:rPr>
          <w:rFonts w:hint="eastAsia" w:ascii="黑体" w:hAnsi="黑体" w:eastAsia="黑体" w:cs="黑体"/>
          <w:b w:val="0"/>
          <w:bCs w:val="0"/>
          <w:spacing w:val="13"/>
          <w:sz w:val="32"/>
          <w:szCs w:val="32"/>
          <w:lang w:val="en-US" w:eastAsia="zh-CN"/>
        </w:rPr>
      </w:pPr>
      <w:r>
        <w:rPr>
          <w:rFonts w:hint="eastAsia" w:ascii="黑体" w:hAnsi="黑体" w:eastAsia="黑体" w:cs="黑体"/>
          <w:b w:val="0"/>
          <w:bCs w:val="0"/>
          <w:spacing w:val="13"/>
          <w:sz w:val="32"/>
          <w:szCs w:val="32"/>
          <w:lang w:eastAsia="zh-CN"/>
        </w:rPr>
        <w:t>附件</w:t>
      </w:r>
      <w:r>
        <w:rPr>
          <w:rFonts w:hint="eastAsia" w:ascii="黑体" w:hAnsi="黑体" w:eastAsia="黑体" w:cs="黑体"/>
          <w:b w:val="0"/>
          <w:bCs w:val="0"/>
          <w:spacing w:val="13"/>
          <w:sz w:val="32"/>
          <w:szCs w:val="32"/>
          <w:lang w:val="en-US" w:eastAsia="zh-CN"/>
        </w:rPr>
        <w:t>1</w:t>
      </w:r>
    </w:p>
    <w:p w14:paraId="3C426C18">
      <w:pPr>
        <w:spacing w:before="143" w:line="219" w:lineRule="auto"/>
        <w:ind w:left="0"/>
        <w:jc w:val="center"/>
        <w:rPr>
          <w:rFonts w:hint="eastAsia" w:ascii="方正小标宋简体" w:hAnsi="方正小标宋简体" w:eastAsia="方正小标宋简体" w:cs="方正小标宋简体"/>
          <w:b w:val="0"/>
          <w:bCs w:val="0"/>
          <w:spacing w:val="13"/>
          <w:sz w:val="44"/>
          <w:szCs w:val="44"/>
          <w:lang w:eastAsia="zh-CN"/>
        </w:rPr>
      </w:pPr>
    </w:p>
    <w:p w14:paraId="3ACA6BC9">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pacing w:val="13"/>
          <w:sz w:val="44"/>
          <w:szCs w:val="44"/>
        </w:rPr>
      </w:pPr>
      <w:r>
        <w:rPr>
          <w:rFonts w:hint="eastAsia" w:ascii="方正小标宋简体" w:hAnsi="方正小标宋简体" w:eastAsia="方正小标宋简体" w:cs="方正小标宋简体"/>
          <w:b w:val="0"/>
          <w:bCs w:val="0"/>
          <w:spacing w:val="13"/>
          <w:sz w:val="44"/>
          <w:szCs w:val="44"/>
          <w:lang w:eastAsia="zh-CN"/>
        </w:rPr>
        <w:t>鄂州市</w:t>
      </w:r>
      <w:r>
        <w:rPr>
          <w:rFonts w:hint="eastAsia" w:ascii="方正小标宋简体" w:hAnsi="方正小标宋简体" w:eastAsia="方正小标宋简体" w:cs="方正小标宋简体"/>
          <w:b w:val="0"/>
          <w:bCs w:val="0"/>
          <w:spacing w:val="13"/>
          <w:sz w:val="44"/>
          <w:szCs w:val="44"/>
        </w:rPr>
        <w:t>水生态产品交易管理办法(试行)</w:t>
      </w:r>
    </w:p>
    <w:p w14:paraId="713F190C">
      <w:pPr>
        <w:keepNext w:val="0"/>
        <w:keepLines w:val="0"/>
        <w:pageBreakBefore w:val="0"/>
        <w:widowControl/>
        <w:kinsoku w:val="0"/>
        <w:wordWrap/>
        <w:overflowPunct/>
        <w:topLinePunct w:val="0"/>
        <w:autoSpaceDE w:val="0"/>
        <w:autoSpaceDN w:val="0"/>
        <w:bidi w:val="0"/>
        <w:adjustRightInd w:val="0"/>
        <w:snapToGrid w:val="0"/>
        <w:spacing w:line="560" w:lineRule="exact"/>
        <w:ind w:left="0"/>
        <w:jc w:val="center"/>
        <w:textAlignment w:val="baseline"/>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pacing w:val="13"/>
          <w:sz w:val="44"/>
          <w:szCs w:val="44"/>
        </w:rPr>
        <w:t>（征求意见稿）</w:t>
      </w:r>
    </w:p>
    <w:p w14:paraId="31736464">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ascii="黑体" w:hAnsi="黑体" w:eastAsia="黑体" w:cs="黑体"/>
          <w:b w:val="0"/>
          <w:bCs w:val="0"/>
          <w:sz w:val="32"/>
          <w:szCs w:val="32"/>
        </w:rPr>
      </w:pPr>
    </w:p>
    <w:p w14:paraId="7FF83D46">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ascii="黑体" w:hAnsi="黑体" w:eastAsia="黑体" w:cs="黑体"/>
          <w:sz w:val="32"/>
          <w:szCs w:val="32"/>
        </w:rPr>
      </w:pPr>
      <w:r>
        <w:rPr>
          <w:rFonts w:ascii="黑体" w:hAnsi="黑体" w:eastAsia="黑体" w:cs="黑体"/>
          <w:b w:val="0"/>
          <w:bCs w:val="0"/>
          <w:sz w:val="32"/>
          <w:szCs w:val="32"/>
        </w:rPr>
        <w:t>第一章</w:t>
      </w:r>
      <w:r>
        <w:rPr>
          <w:rFonts w:ascii="黑体" w:hAnsi="黑体" w:eastAsia="黑体" w:cs="黑体"/>
          <w:spacing w:val="17"/>
          <w:sz w:val="32"/>
          <w:szCs w:val="32"/>
        </w:rPr>
        <w:t xml:space="preserve">  </w:t>
      </w:r>
      <w:r>
        <w:rPr>
          <w:rFonts w:ascii="黑体" w:hAnsi="黑体" w:eastAsia="黑体" w:cs="黑体"/>
          <w:b w:val="0"/>
          <w:bCs w:val="0"/>
          <w:sz w:val="32"/>
          <w:szCs w:val="32"/>
        </w:rPr>
        <w:t>总则</w:t>
      </w:r>
    </w:p>
    <w:p w14:paraId="41A14449">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黑体" w:hAnsi="黑体" w:eastAsia="黑体" w:cs="黑体"/>
          <w:b w:val="0"/>
          <w:bCs w:val="0"/>
          <w:spacing w:val="0"/>
          <w:sz w:val="32"/>
          <w:szCs w:val="32"/>
        </w:rPr>
      </w:pPr>
      <w:r>
        <w:rPr>
          <w:rFonts w:ascii="黑体" w:hAnsi="黑体" w:eastAsia="黑体" w:cs="黑体"/>
          <w:b w:val="0"/>
          <w:bCs w:val="0"/>
          <w:spacing w:val="0"/>
          <w:sz w:val="32"/>
          <w:szCs w:val="32"/>
        </w:rPr>
        <w:t>第一条</w:t>
      </w:r>
      <w:r>
        <w:rPr>
          <w:rFonts w:ascii="楷体" w:hAnsi="楷体" w:eastAsia="楷体" w:cs="楷体"/>
          <w:spacing w:val="14"/>
          <w:sz w:val="32"/>
          <w:szCs w:val="32"/>
        </w:rPr>
        <w:t xml:space="preserve"> </w:t>
      </w:r>
      <w:r>
        <w:rPr>
          <w:rFonts w:hint="eastAsia" w:ascii="Times New Roman" w:hAnsi="Times New Roman" w:eastAsia="仿宋_GB2312" w:cs="Times New Roman"/>
          <w:snapToGrid/>
          <w:spacing w:val="0"/>
          <w:kern w:val="2"/>
          <w:sz w:val="32"/>
          <w:szCs w:val="32"/>
          <w:lang w:eastAsia="zh-CN"/>
        </w:rPr>
        <w:t>为深入贯彻习近平生态文明思想，坚持绿水青山就是金山银山理念，建立健全生态产品价值实现机制，规范鄂州市水生态产品交易行为，促进水生态产品交易市场健康发展，根据《中共中央办公厅国务院办公厅印发关于建立健全生态产品价值实现机制的意见》等有关文件，结合</w:t>
      </w:r>
      <w:r>
        <w:rPr>
          <w:rFonts w:hint="default" w:ascii="Times New Roman" w:hAnsi="Times New Roman" w:eastAsia="仿宋_GB2312" w:cs="Times New Roman"/>
          <w:snapToGrid/>
          <w:spacing w:val="0"/>
          <w:kern w:val="2"/>
          <w:sz w:val="32"/>
          <w:szCs w:val="32"/>
          <w:lang w:eastAsia="zh-CN"/>
        </w:rPr>
        <w:t>鄂州</w:t>
      </w:r>
      <w:r>
        <w:rPr>
          <w:rFonts w:hint="eastAsia" w:ascii="Times New Roman" w:hAnsi="Times New Roman" w:eastAsia="仿宋_GB2312" w:cs="Times New Roman"/>
          <w:snapToGrid/>
          <w:spacing w:val="0"/>
          <w:kern w:val="2"/>
          <w:sz w:val="32"/>
          <w:szCs w:val="32"/>
          <w:lang w:eastAsia="zh-CN"/>
        </w:rPr>
        <w:t>实际，制定本办法。</w:t>
      </w:r>
    </w:p>
    <w:p w14:paraId="23B58849">
      <w:pPr>
        <w:keepNext w:val="0"/>
        <w:keepLines w:val="0"/>
        <w:pageBreakBefore w:val="0"/>
        <w:widowControl/>
        <w:kinsoku w:val="0"/>
        <w:wordWrap/>
        <w:overflowPunct/>
        <w:topLinePunct w:val="0"/>
        <w:autoSpaceDE/>
        <w:autoSpaceDN/>
        <w:bidi w:val="0"/>
        <w:adjustRightInd w:val="0"/>
        <w:snapToGrid w:val="0"/>
        <w:spacing w:line="560" w:lineRule="exact"/>
        <w:ind w:left="0" w:firstLine="640" w:firstLineChars="200"/>
        <w:jc w:val="both"/>
        <w:textAlignment w:val="baseline"/>
        <w:rPr>
          <w:rFonts w:hint="eastAsia" w:ascii="Times New Roman" w:hAnsi="Times New Roman" w:eastAsia="仿宋_GB2312" w:cs="Times New Roman"/>
          <w:snapToGrid/>
          <w:spacing w:val="0"/>
          <w:kern w:val="2"/>
          <w:sz w:val="32"/>
          <w:szCs w:val="32"/>
          <w:lang w:eastAsia="zh-CN"/>
        </w:rPr>
      </w:pPr>
      <w:r>
        <w:rPr>
          <w:rFonts w:ascii="黑体" w:hAnsi="黑体" w:eastAsia="黑体" w:cs="黑体"/>
          <w:b w:val="0"/>
          <w:bCs w:val="0"/>
          <w:spacing w:val="0"/>
          <w:sz w:val="32"/>
          <w:szCs w:val="32"/>
        </w:rPr>
        <w:t>第二条</w:t>
      </w:r>
      <w:r>
        <w:rPr>
          <w:rFonts w:ascii="楷体" w:hAnsi="楷体" w:eastAsia="楷体" w:cs="楷体"/>
          <w:b/>
          <w:bCs/>
          <w:spacing w:val="14"/>
          <w:sz w:val="32"/>
          <w:szCs w:val="32"/>
        </w:rPr>
        <w:t xml:space="preserve"> </w:t>
      </w:r>
      <w:r>
        <w:rPr>
          <w:rFonts w:hint="eastAsia" w:ascii="Times New Roman" w:hAnsi="Times New Roman" w:eastAsia="仿宋_GB2312" w:cs="Times New Roman"/>
          <w:snapToGrid/>
          <w:spacing w:val="0"/>
          <w:kern w:val="2"/>
          <w:sz w:val="32"/>
          <w:szCs w:val="32"/>
          <w:lang w:eastAsia="zh-CN"/>
        </w:rPr>
        <w:t>本办法所称水生态产品是指在维系河湖水域生态系统及其服务功能的基础上，水生态系统为经济活动和其他人类活动提供且被使用的货物或服务贡献。</w:t>
      </w:r>
    </w:p>
    <w:p w14:paraId="4AB95624">
      <w:pPr>
        <w:keepNext w:val="0"/>
        <w:keepLines w:val="0"/>
        <w:pageBreakBefore w:val="0"/>
        <w:widowControl/>
        <w:kinsoku w:val="0"/>
        <w:wordWrap/>
        <w:overflowPunct/>
        <w:topLinePunct w:val="0"/>
        <w:autoSpaceDE/>
        <w:autoSpaceDN/>
        <w:bidi w:val="0"/>
        <w:adjustRightInd w:val="0"/>
        <w:snapToGrid w:val="0"/>
        <w:spacing w:line="560" w:lineRule="exact"/>
        <w:ind w:left="0" w:firstLine="640" w:firstLineChars="200"/>
        <w:jc w:val="both"/>
        <w:textAlignment w:val="baseline"/>
        <w:rPr>
          <w:rFonts w:hint="eastAsia" w:ascii="Times New Roman" w:hAnsi="Times New Roman" w:eastAsia="仿宋_GB2312" w:cs="Times New Roman"/>
          <w:snapToGrid/>
          <w:spacing w:val="0"/>
          <w:kern w:val="2"/>
          <w:sz w:val="32"/>
          <w:szCs w:val="32"/>
          <w:lang w:eastAsia="zh-CN"/>
        </w:rPr>
      </w:pPr>
      <w:r>
        <w:rPr>
          <w:rFonts w:ascii="黑体" w:hAnsi="黑体" w:eastAsia="黑体" w:cs="黑体"/>
          <w:b w:val="0"/>
          <w:bCs w:val="0"/>
          <w:spacing w:val="0"/>
          <w:sz w:val="32"/>
          <w:szCs w:val="32"/>
        </w:rPr>
        <w:t>第三条</w:t>
      </w:r>
      <w:r>
        <w:rPr>
          <w:rFonts w:ascii="仿宋" w:hAnsi="仿宋" w:eastAsia="仿宋" w:cs="仿宋"/>
          <w:b/>
          <w:bCs/>
          <w:spacing w:val="15"/>
          <w:sz w:val="32"/>
          <w:szCs w:val="32"/>
        </w:rPr>
        <w:t xml:space="preserve"> </w:t>
      </w:r>
      <w:r>
        <w:rPr>
          <w:rFonts w:hint="eastAsia" w:ascii="Times New Roman" w:hAnsi="Times New Roman" w:eastAsia="仿宋_GB2312" w:cs="Times New Roman"/>
          <w:snapToGrid/>
          <w:spacing w:val="0"/>
          <w:kern w:val="2"/>
          <w:sz w:val="32"/>
          <w:szCs w:val="32"/>
          <w:lang w:eastAsia="zh-CN"/>
        </w:rPr>
        <w:t>本办法适用于</w:t>
      </w:r>
      <w:r>
        <w:rPr>
          <w:rFonts w:hint="default" w:ascii="Times New Roman" w:hAnsi="Times New Roman" w:eastAsia="仿宋_GB2312" w:cs="Times New Roman"/>
          <w:snapToGrid/>
          <w:spacing w:val="0"/>
          <w:kern w:val="2"/>
          <w:sz w:val="32"/>
          <w:szCs w:val="32"/>
          <w:lang w:eastAsia="zh-CN"/>
        </w:rPr>
        <w:t>鄂州市</w:t>
      </w:r>
      <w:r>
        <w:rPr>
          <w:rFonts w:hint="eastAsia" w:ascii="Times New Roman" w:hAnsi="Times New Roman" w:eastAsia="仿宋_GB2312" w:cs="Times New Roman"/>
          <w:snapToGrid/>
          <w:spacing w:val="0"/>
          <w:kern w:val="2"/>
          <w:sz w:val="32"/>
          <w:szCs w:val="32"/>
          <w:lang w:eastAsia="zh-CN"/>
        </w:rPr>
        <w:t>水生态产品交易的全过程管理，包括水生态产品价值核算、公开售让、收益反哺等。</w:t>
      </w:r>
    </w:p>
    <w:p w14:paraId="5E208EE6">
      <w:pPr>
        <w:keepNext w:val="0"/>
        <w:keepLines w:val="0"/>
        <w:pageBreakBefore w:val="0"/>
        <w:widowControl/>
        <w:kinsoku w:val="0"/>
        <w:wordWrap/>
        <w:overflowPunct/>
        <w:topLinePunct w:val="0"/>
        <w:autoSpaceDE/>
        <w:autoSpaceDN/>
        <w:bidi w:val="0"/>
        <w:adjustRightInd w:val="0"/>
        <w:snapToGrid w:val="0"/>
        <w:spacing w:line="560" w:lineRule="exact"/>
        <w:ind w:left="0" w:firstLine="640" w:firstLineChars="200"/>
        <w:jc w:val="both"/>
        <w:textAlignment w:val="baseline"/>
        <w:rPr>
          <w:rFonts w:ascii="楷体" w:hAnsi="楷体" w:eastAsia="楷体" w:cs="楷体"/>
          <w:spacing w:val="29"/>
          <w:sz w:val="32"/>
          <w:szCs w:val="32"/>
        </w:rPr>
      </w:pPr>
      <w:r>
        <w:rPr>
          <w:rFonts w:hint="eastAsia" w:ascii="黑体" w:hAnsi="黑体" w:eastAsia="黑体" w:cs="Times New Roman"/>
          <w:bCs/>
          <w:snapToGrid/>
          <w:spacing w:val="0"/>
          <w:kern w:val="2"/>
          <w:sz w:val="32"/>
          <w:szCs w:val="32"/>
          <w:lang w:eastAsia="zh-CN"/>
        </w:rPr>
        <w:t xml:space="preserve">第四条 </w:t>
      </w:r>
      <w:r>
        <w:rPr>
          <w:rFonts w:hint="default" w:ascii="Times New Roman" w:hAnsi="Times New Roman" w:eastAsia="仿宋_GB2312" w:cs="Times New Roman"/>
          <w:snapToGrid/>
          <w:spacing w:val="0"/>
          <w:kern w:val="2"/>
          <w:sz w:val="32"/>
          <w:szCs w:val="32"/>
          <w:lang w:eastAsia="zh-CN"/>
        </w:rPr>
        <w:t>鄂州市</w:t>
      </w:r>
      <w:r>
        <w:rPr>
          <w:rFonts w:hint="eastAsia" w:ascii="Times New Roman" w:hAnsi="Times New Roman" w:eastAsia="仿宋_GB2312" w:cs="Times New Roman"/>
          <w:snapToGrid/>
          <w:spacing w:val="0"/>
          <w:kern w:val="2"/>
          <w:sz w:val="32"/>
          <w:szCs w:val="32"/>
          <w:lang w:eastAsia="zh-CN"/>
        </w:rPr>
        <w:t>水生态产品交易应当遵循公平、公开、公正、诚信、高效的原则，保障交易双方的合法权益，促进水资源的可持续利用和生态环境的持续性改善。</w:t>
      </w:r>
    </w:p>
    <w:p w14:paraId="469D9143">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ascii="黑体" w:hAnsi="黑体" w:eastAsia="黑体" w:cs="黑体"/>
          <w:sz w:val="32"/>
          <w:szCs w:val="32"/>
        </w:rPr>
      </w:pPr>
      <w:r>
        <w:rPr>
          <w:rFonts w:ascii="黑体" w:hAnsi="黑体" w:eastAsia="黑体" w:cs="黑体"/>
          <w:b w:val="0"/>
          <w:bCs w:val="0"/>
          <w:sz w:val="32"/>
          <w:szCs w:val="32"/>
        </w:rPr>
        <w:t>第二章</w:t>
      </w:r>
      <w:r>
        <w:rPr>
          <w:rFonts w:ascii="黑体" w:hAnsi="黑体" w:eastAsia="黑体" w:cs="黑体"/>
          <w:spacing w:val="0"/>
          <w:sz w:val="32"/>
          <w:szCs w:val="32"/>
        </w:rPr>
        <w:t xml:space="preserve">  </w:t>
      </w:r>
      <w:r>
        <w:rPr>
          <w:rFonts w:ascii="黑体" w:hAnsi="黑体" w:eastAsia="黑体" w:cs="黑体"/>
          <w:b w:val="0"/>
          <w:bCs w:val="0"/>
          <w:sz w:val="32"/>
          <w:szCs w:val="32"/>
        </w:rPr>
        <w:t>价值核算与确权</w:t>
      </w:r>
    </w:p>
    <w:p w14:paraId="0764F46D">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z w:val="32"/>
          <w:szCs w:val="32"/>
        </w:rPr>
      </w:pPr>
      <w:r>
        <w:rPr>
          <w:rFonts w:ascii="黑体" w:hAnsi="黑体" w:eastAsia="黑体" w:cs="黑体"/>
          <w:b w:val="0"/>
          <w:bCs w:val="0"/>
          <w:spacing w:val="0"/>
          <w:sz w:val="32"/>
          <w:szCs w:val="32"/>
        </w:rPr>
        <w:t>第五条</w:t>
      </w:r>
      <w:r>
        <w:rPr>
          <w:rFonts w:ascii="楷体" w:hAnsi="楷体" w:eastAsia="楷体" w:cs="楷体"/>
          <w:spacing w:val="15"/>
          <w:sz w:val="32"/>
          <w:szCs w:val="32"/>
        </w:rPr>
        <w:t xml:space="preserve"> </w:t>
      </w:r>
      <w:r>
        <w:rPr>
          <w:rFonts w:hint="eastAsia" w:ascii="Times New Roman" w:hAnsi="Times New Roman" w:eastAsia="仿宋_GB2312" w:cs="Times New Roman"/>
          <w:snapToGrid/>
          <w:spacing w:val="0"/>
          <w:kern w:val="2"/>
          <w:sz w:val="32"/>
          <w:szCs w:val="32"/>
          <w:lang w:eastAsia="zh-CN"/>
        </w:rPr>
        <w:t>根据市场需求，利用信息化手段，开展水生态产品基础信息调查，摸清交易区块水生态产品类型、质量等底数，形成水生态产品交易目录清单。</w:t>
      </w:r>
    </w:p>
    <w:p w14:paraId="790FC529">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楷体" w:hAnsi="楷体" w:eastAsia="楷体" w:cs="楷体"/>
          <w:spacing w:val="7"/>
          <w:sz w:val="32"/>
          <w:szCs w:val="32"/>
        </w:rPr>
      </w:pPr>
      <w:r>
        <w:rPr>
          <w:rFonts w:ascii="黑体" w:hAnsi="黑体" w:eastAsia="黑体" w:cs="黑体"/>
          <w:b w:val="0"/>
          <w:bCs w:val="0"/>
          <w:spacing w:val="0"/>
          <w:sz w:val="32"/>
          <w:szCs w:val="32"/>
        </w:rPr>
        <w:t>第六条</w:t>
      </w:r>
      <w:r>
        <w:rPr>
          <w:rFonts w:ascii="楷体" w:hAnsi="楷体" w:eastAsia="楷体" w:cs="楷体"/>
          <w:spacing w:val="15"/>
          <w:sz w:val="32"/>
          <w:szCs w:val="32"/>
        </w:rPr>
        <w:t xml:space="preserve"> </w:t>
      </w:r>
      <w:r>
        <w:rPr>
          <w:rFonts w:hint="eastAsia" w:ascii="Times New Roman" w:hAnsi="Times New Roman" w:eastAsia="仿宋_GB2312" w:cs="Times New Roman"/>
          <w:snapToGrid/>
          <w:spacing w:val="0"/>
          <w:kern w:val="2"/>
          <w:sz w:val="32"/>
          <w:szCs w:val="32"/>
          <w:lang w:eastAsia="zh-CN"/>
        </w:rPr>
        <w:t>根据生态产品价值核算相关规定，建立水生态产品价值核算体系，推进水生态产品价值核算标准化。</w:t>
      </w:r>
    </w:p>
    <w:p w14:paraId="6D08A26A">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pacing w:val="15"/>
          <w:sz w:val="32"/>
          <w:szCs w:val="32"/>
        </w:rPr>
      </w:pPr>
      <w:r>
        <w:rPr>
          <w:rFonts w:ascii="黑体" w:hAnsi="黑体" w:eastAsia="黑体" w:cs="黑体"/>
          <w:b w:val="0"/>
          <w:bCs w:val="0"/>
          <w:spacing w:val="0"/>
          <w:sz w:val="32"/>
          <w:szCs w:val="32"/>
        </w:rPr>
        <w:t>第七条</w:t>
      </w:r>
      <w:r>
        <w:rPr>
          <w:rFonts w:ascii="楷体" w:hAnsi="楷体" w:eastAsia="楷体" w:cs="楷体"/>
          <w:spacing w:val="7"/>
          <w:sz w:val="32"/>
          <w:szCs w:val="32"/>
        </w:rPr>
        <w:t xml:space="preserve"> </w:t>
      </w:r>
      <w:r>
        <w:rPr>
          <w:rFonts w:hint="eastAsia" w:ascii="Times New Roman" w:hAnsi="Times New Roman" w:eastAsia="仿宋_GB2312" w:cs="Times New Roman"/>
          <w:snapToGrid/>
          <w:spacing w:val="0"/>
          <w:kern w:val="2"/>
          <w:sz w:val="32"/>
          <w:szCs w:val="32"/>
          <w:lang w:eastAsia="zh-CN"/>
        </w:rPr>
        <w:t>动态开展水生态产品价值核算，适时更新产品信息，并将其纳入鄂州市生态产品价值核算和应用体系。</w:t>
      </w:r>
    </w:p>
    <w:p w14:paraId="6B3E67E4">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z w:val="32"/>
          <w:szCs w:val="32"/>
        </w:rPr>
      </w:pPr>
      <w:r>
        <w:rPr>
          <w:rFonts w:ascii="黑体" w:hAnsi="黑体" w:eastAsia="黑体" w:cs="黑体"/>
          <w:b w:val="0"/>
          <w:bCs w:val="0"/>
          <w:spacing w:val="0"/>
          <w:sz w:val="32"/>
          <w:szCs w:val="32"/>
        </w:rPr>
        <w:t>第八条</w:t>
      </w:r>
      <w:r>
        <w:rPr>
          <w:rFonts w:ascii="楷体" w:hAnsi="楷体" w:eastAsia="楷体" w:cs="楷体"/>
          <w:spacing w:val="15"/>
          <w:sz w:val="32"/>
          <w:szCs w:val="32"/>
        </w:rPr>
        <w:t xml:space="preserve"> </w:t>
      </w:r>
      <w:r>
        <w:rPr>
          <w:rFonts w:hint="eastAsia" w:ascii="Times New Roman" w:hAnsi="Times New Roman" w:eastAsia="仿宋_GB2312" w:cs="Times New Roman"/>
          <w:snapToGrid/>
          <w:spacing w:val="0"/>
          <w:kern w:val="2"/>
          <w:sz w:val="32"/>
          <w:szCs w:val="32"/>
          <w:lang w:eastAsia="zh-CN"/>
        </w:rPr>
        <w:t>水生态产品价值核算可采取专家评审、咨询评估等方式，对指标选定、生态功能量、生态价值量等内容进行充分论证、评估，确保核算结果的科学性和权威性。</w:t>
      </w:r>
    </w:p>
    <w:p w14:paraId="57465854">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hint="eastAsia" w:ascii="Times New Roman" w:hAnsi="Times New Roman" w:eastAsia="仿宋_GB2312" w:cs="Times New Roman"/>
          <w:snapToGrid/>
          <w:spacing w:val="0"/>
          <w:kern w:val="2"/>
          <w:sz w:val="32"/>
          <w:szCs w:val="32"/>
          <w:lang w:eastAsia="zh-CN"/>
        </w:rPr>
      </w:pPr>
      <w:r>
        <w:rPr>
          <w:rFonts w:ascii="黑体" w:hAnsi="黑体" w:eastAsia="黑体" w:cs="黑体"/>
          <w:b w:val="0"/>
          <w:bCs w:val="0"/>
          <w:spacing w:val="0"/>
          <w:sz w:val="32"/>
          <w:szCs w:val="32"/>
        </w:rPr>
        <w:t>第</w:t>
      </w:r>
      <w:r>
        <w:rPr>
          <w:rFonts w:hint="default" w:ascii="黑体" w:hAnsi="黑体" w:eastAsia="黑体" w:cs="黑体"/>
          <w:b w:val="0"/>
          <w:bCs w:val="0"/>
          <w:spacing w:val="0"/>
          <w:sz w:val="32"/>
          <w:szCs w:val="32"/>
          <w:lang w:eastAsia="zh-CN"/>
        </w:rPr>
        <w:t>九</w:t>
      </w:r>
      <w:r>
        <w:rPr>
          <w:rFonts w:ascii="黑体" w:hAnsi="黑体" w:eastAsia="黑体" w:cs="黑体"/>
          <w:b w:val="0"/>
          <w:bCs w:val="0"/>
          <w:spacing w:val="0"/>
          <w:sz w:val="32"/>
          <w:szCs w:val="32"/>
        </w:rPr>
        <w:t>条</w:t>
      </w:r>
      <w:r>
        <w:rPr>
          <w:rFonts w:ascii="楷体" w:hAnsi="楷体" w:eastAsia="楷体" w:cs="楷体"/>
          <w:b w:val="0"/>
          <w:bCs w:val="0"/>
          <w:spacing w:val="14"/>
          <w:sz w:val="32"/>
          <w:szCs w:val="32"/>
        </w:rPr>
        <w:t xml:space="preserve"> </w:t>
      </w:r>
      <w:r>
        <w:rPr>
          <w:rFonts w:hint="eastAsia" w:ascii="Times New Roman" w:hAnsi="Times New Roman" w:eastAsia="仿宋_GB2312" w:cs="Times New Roman"/>
          <w:snapToGrid/>
          <w:spacing w:val="0"/>
          <w:kern w:val="2"/>
          <w:sz w:val="32"/>
          <w:szCs w:val="32"/>
          <w:lang w:eastAsia="zh-CN"/>
        </w:rPr>
        <w:t>参与水生态产品交易的出让方应当具备明晰的权属，受让方应当具备相应的资质和能力，共同加强水生态保护修复，培育高质量水生态产品。</w:t>
      </w:r>
    </w:p>
    <w:p w14:paraId="0BBD40D5">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hint="default" w:ascii="Times New Roman" w:hAnsi="Times New Roman" w:eastAsia="仿宋_GB2312" w:cs="Times New Roman"/>
          <w:snapToGrid/>
          <w:spacing w:val="0"/>
          <w:kern w:val="2"/>
          <w:sz w:val="32"/>
          <w:szCs w:val="32"/>
          <w:lang w:eastAsia="zh-CN"/>
        </w:rPr>
      </w:pPr>
      <w:r>
        <w:rPr>
          <w:rFonts w:ascii="黑体" w:hAnsi="黑体" w:eastAsia="黑体" w:cs="黑体"/>
          <w:b w:val="0"/>
          <w:bCs w:val="0"/>
          <w:spacing w:val="0"/>
          <w:sz w:val="32"/>
          <w:szCs w:val="32"/>
        </w:rPr>
        <w:t>第十条</w:t>
      </w:r>
      <w:r>
        <w:rPr>
          <w:rFonts w:ascii="仿宋" w:hAnsi="仿宋" w:eastAsia="仿宋" w:cs="仿宋"/>
          <w:spacing w:val="15"/>
          <w:sz w:val="32"/>
          <w:szCs w:val="32"/>
        </w:rPr>
        <w:t xml:space="preserve"> </w:t>
      </w:r>
      <w:r>
        <w:rPr>
          <w:rFonts w:hint="eastAsia" w:ascii="Times New Roman" w:hAnsi="Times New Roman" w:eastAsia="仿宋_GB2312" w:cs="Times New Roman"/>
          <w:snapToGrid/>
          <w:spacing w:val="0"/>
          <w:kern w:val="2"/>
          <w:sz w:val="32"/>
          <w:szCs w:val="32"/>
          <w:lang w:eastAsia="zh-CN"/>
        </w:rPr>
        <w:t>依托自然资源确权登记制度，合理界定水生态产品出让、转让、出租、抵押、入股等权责归属。暂时不能界定水生态产品权属的，按照“谁投入、谁受益”的原则，依法支持有关主体依据合同约定获得水生态产品使用权</w:t>
      </w:r>
      <w:r>
        <w:rPr>
          <w:rFonts w:hint="default" w:ascii="Times New Roman" w:hAnsi="Times New Roman" w:eastAsia="仿宋_GB2312" w:cs="Times New Roman"/>
          <w:snapToGrid/>
          <w:spacing w:val="0"/>
          <w:kern w:val="2"/>
          <w:sz w:val="32"/>
          <w:szCs w:val="32"/>
          <w:lang w:eastAsia="zh-CN"/>
        </w:rPr>
        <w:t>。</w:t>
      </w:r>
    </w:p>
    <w:p w14:paraId="458E7532">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ascii="黑体" w:hAnsi="黑体" w:eastAsia="黑体" w:cs="黑体"/>
          <w:sz w:val="32"/>
          <w:szCs w:val="32"/>
        </w:rPr>
      </w:pPr>
      <w:r>
        <w:rPr>
          <w:rFonts w:ascii="黑体" w:hAnsi="黑体" w:eastAsia="黑体" w:cs="黑体"/>
          <w:b w:val="0"/>
          <w:bCs w:val="0"/>
          <w:spacing w:val="0"/>
          <w:sz w:val="32"/>
          <w:szCs w:val="32"/>
        </w:rPr>
        <w:t>第三章</w:t>
      </w:r>
      <w:r>
        <w:rPr>
          <w:rFonts w:ascii="黑体" w:hAnsi="黑体" w:eastAsia="黑体" w:cs="黑体"/>
          <w:spacing w:val="0"/>
          <w:sz w:val="32"/>
          <w:szCs w:val="32"/>
        </w:rPr>
        <w:t xml:space="preserve">  </w:t>
      </w:r>
      <w:r>
        <w:rPr>
          <w:rFonts w:ascii="黑体" w:hAnsi="黑体" w:eastAsia="黑体" w:cs="黑体"/>
          <w:b w:val="0"/>
          <w:bCs w:val="0"/>
          <w:spacing w:val="0"/>
          <w:sz w:val="32"/>
          <w:szCs w:val="32"/>
        </w:rPr>
        <w:t>交易机制</w:t>
      </w:r>
    </w:p>
    <w:p w14:paraId="13D8C08C">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pacing w:val="15"/>
          <w:sz w:val="32"/>
          <w:szCs w:val="32"/>
        </w:rPr>
      </w:pPr>
      <w:r>
        <w:rPr>
          <w:rFonts w:ascii="黑体" w:hAnsi="黑体" w:eastAsia="黑体" w:cs="黑体"/>
          <w:spacing w:val="0"/>
          <w:sz w:val="32"/>
          <w:szCs w:val="32"/>
        </w:rPr>
        <w:t>第十</w:t>
      </w:r>
      <w:r>
        <w:rPr>
          <w:rFonts w:ascii="黑体" w:hAnsi="黑体" w:eastAsia="黑体" w:cs="黑体"/>
          <w:b w:val="0"/>
          <w:bCs w:val="0"/>
          <w:spacing w:val="0"/>
          <w:sz w:val="32"/>
          <w:szCs w:val="32"/>
        </w:rPr>
        <w:t>一</w:t>
      </w:r>
      <w:r>
        <w:rPr>
          <w:rFonts w:ascii="黑体" w:hAnsi="黑体" w:eastAsia="黑体" w:cs="黑体"/>
          <w:spacing w:val="0"/>
          <w:sz w:val="32"/>
          <w:szCs w:val="32"/>
        </w:rPr>
        <w:t>条</w:t>
      </w:r>
      <w:r>
        <w:rPr>
          <w:rFonts w:ascii="楷体" w:hAnsi="楷体" w:eastAsia="楷体" w:cs="楷体"/>
          <w:spacing w:val="6"/>
          <w:sz w:val="32"/>
          <w:szCs w:val="32"/>
        </w:rPr>
        <w:t xml:space="preserve"> </w:t>
      </w:r>
      <w:r>
        <w:rPr>
          <w:rFonts w:hint="eastAsia" w:ascii="Times New Roman" w:hAnsi="Times New Roman" w:eastAsia="仿宋_GB2312" w:cs="Times New Roman"/>
          <w:snapToGrid/>
          <w:spacing w:val="0"/>
          <w:kern w:val="2"/>
          <w:sz w:val="32"/>
          <w:szCs w:val="32"/>
          <w:lang w:eastAsia="zh-CN"/>
        </w:rPr>
        <w:t>核算、确权后的水生态产品，</w:t>
      </w:r>
      <w:r>
        <w:rPr>
          <w:rFonts w:hint="eastAsia" w:ascii="Times New Roman" w:hAnsi="Times New Roman" w:eastAsia="仿宋_GB2312" w:cs="Times New Roman"/>
          <w:snapToGrid/>
          <w:kern w:val="2"/>
          <w:sz w:val="32"/>
          <w:szCs w:val="32"/>
          <w:lang w:val="en-US" w:eastAsia="zh-CN"/>
        </w:rPr>
        <w:t>由水生态产品权属单位按规定进行信息发布</w:t>
      </w:r>
      <w:r>
        <w:rPr>
          <w:rFonts w:hint="eastAsia" w:ascii="Times New Roman" w:hAnsi="Times New Roman" w:eastAsia="仿宋_GB2312" w:cs="Times New Roman"/>
          <w:snapToGrid/>
          <w:kern w:val="2"/>
          <w:sz w:val="32"/>
          <w:szCs w:val="32"/>
          <w:lang w:eastAsia="zh-CN"/>
        </w:rPr>
        <w:t>，</w:t>
      </w:r>
      <w:r>
        <w:rPr>
          <w:rFonts w:hint="eastAsia" w:ascii="Times New Roman" w:hAnsi="Times New Roman" w:eastAsia="仿宋_GB2312" w:cs="Times New Roman"/>
          <w:snapToGrid/>
          <w:kern w:val="2"/>
          <w:sz w:val="32"/>
          <w:szCs w:val="32"/>
          <w:lang w:val="en-US" w:eastAsia="zh-CN"/>
        </w:rPr>
        <w:t>及时动态更新产品信息</w:t>
      </w:r>
      <w:r>
        <w:rPr>
          <w:rFonts w:hint="eastAsia" w:ascii="Times New Roman" w:hAnsi="Times New Roman" w:eastAsia="仿宋_GB2312" w:cs="Times New Roman"/>
          <w:snapToGrid/>
          <w:kern w:val="2"/>
          <w:sz w:val="32"/>
          <w:szCs w:val="32"/>
          <w:lang w:eastAsia="zh-CN"/>
        </w:rPr>
        <w:t>，推进产品供给方与需求方、资源方与投资方高效对接。</w:t>
      </w:r>
    </w:p>
    <w:p w14:paraId="1FE2B647">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z w:val="32"/>
          <w:szCs w:val="32"/>
        </w:rPr>
      </w:pPr>
      <w:r>
        <w:rPr>
          <w:rFonts w:ascii="黑体" w:hAnsi="黑体" w:eastAsia="黑体" w:cs="黑体"/>
          <w:b w:val="0"/>
          <w:bCs w:val="0"/>
          <w:spacing w:val="0"/>
          <w:sz w:val="32"/>
          <w:szCs w:val="32"/>
        </w:rPr>
        <w:t>第十</w:t>
      </w:r>
      <w:r>
        <w:rPr>
          <w:rFonts w:hint="default" w:ascii="黑体" w:hAnsi="黑体" w:eastAsia="黑体" w:cs="黑体"/>
          <w:b w:val="0"/>
          <w:bCs w:val="0"/>
          <w:spacing w:val="0"/>
          <w:sz w:val="32"/>
          <w:szCs w:val="32"/>
          <w:lang w:eastAsia="zh-CN"/>
        </w:rPr>
        <w:t>二</w:t>
      </w:r>
      <w:r>
        <w:rPr>
          <w:rFonts w:ascii="黑体" w:hAnsi="黑体" w:eastAsia="黑体" w:cs="黑体"/>
          <w:b w:val="0"/>
          <w:bCs w:val="0"/>
          <w:spacing w:val="0"/>
          <w:sz w:val="32"/>
          <w:szCs w:val="32"/>
        </w:rPr>
        <w:t>条</w:t>
      </w:r>
      <w:r>
        <w:rPr>
          <w:rFonts w:ascii="楷体" w:hAnsi="楷体" w:eastAsia="楷体" w:cs="楷体"/>
          <w:spacing w:val="16"/>
          <w:sz w:val="32"/>
          <w:szCs w:val="32"/>
        </w:rPr>
        <w:t xml:space="preserve"> </w:t>
      </w:r>
      <w:r>
        <w:rPr>
          <w:rFonts w:hint="eastAsia" w:ascii="Times New Roman" w:hAnsi="Times New Roman" w:eastAsia="仿宋_GB2312" w:cs="Times New Roman"/>
          <w:snapToGrid/>
          <w:spacing w:val="0"/>
          <w:kern w:val="2"/>
          <w:sz w:val="32"/>
          <w:szCs w:val="32"/>
          <w:lang w:eastAsia="zh-CN"/>
        </w:rPr>
        <w:t>综合考虑水生态产品价值核算结果、水生态产品培育与开发成本、市场供需关系等，探索水生态产品价格形成机制，破解生态产品价值“难度量、难抵押、难交易、难变现”等问题。</w:t>
      </w:r>
    </w:p>
    <w:p w14:paraId="0D968CCC">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z w:val="32"/>
          <w:szCs w:val="32"/>
        </w:rPr>
      </w:pPr>
      <w:r>
        <w:rPr>
          <w:rFonts w:ascii="黑体" w:hAnsi="黑体" w:eastAsia="黑体" w:cs="黑体"/>
          <w:b w:val="0"/>
          <w:bCs w:val="0"/>
          <w:spacing w:val="0"/>
          <w:sz w:val="32"/>
          <w:szCs w:val="32"/>
        </w:rPr>
        <w:t>第</w:t>
      </w:r>
      <w:r>
        <w:rPr>
          <w:rFonts w:hint="default" w:ascii="黑体" w:hAnsi="黑体" w:eastAsia="黑体" w:cs="黑体"/>
          <w:b w:val="0"/>
          <w:bCs w:val="0"/>
          <w:spacing w:val="0"/>
          <w:sz w:val="32"/>
          <w:szCs w:val="32"/>
          <w:lang w:eastAsia="zh-CN"/>
        </w:rPr>
        <w:t>十</w:t>
      </w:r>
      <w:r>
        <w:rPr>
          <w:rFonts w:ascii="黑体" w:hAnsi="黑体" w:eastAsia="黑体" w:cs="黑体"/>
          <w:spacing w:val="0"/>
          <w:sz w:val="32"/>
          <w:szCs w:val="32"/>
        </w:rPr>
        <w:t>三</w:t>
      </w:r>
      <w:r>
        <w:rPr>
          <w:rFonts w:ascii="黑体" w:hAnsi="黑体" w:eastAsia="黑体" w:cs="黑体"/>
          <w:b w:val="0"/>
          <w:bCs w:val="0"/>
          <w:spacing w:val="0"/>
          <w:sz w:val="32"/>
          <w:szCs w:val="32"/>
        </w:rPr>
        <w:t>条</w:t>
      </w:r>
      <w:r>
        <w:rPr>
          <w:rFonts w:ascii="楷体" w:hAnsi="楷体" w:eastAsia="楷体" w:cs="楷体"/>
          <w:spacing w:val="15"/>
          <w:sz w:val="32"/>
          <w:szCs w:val="32"/>
        </w:rPr>
        <w:t xml:space="preserve"> </w:t>
      </w:r>
      <w:r>
        <w:rPr>
          <w:rFonts w:hint="eastAsia" w:ascii="Times New Roman" w:hAnsi="Times New Roman" w:eastAsia="仿宋_GB2312" w:cs="Times New Roman"/>
          <w:snapToGrid/>
          <w:spacing w:val="0"/>
          <w:kern w:val="2"/>
          <w:sz w:val="32"/>
          <w:szCs w:val="32"/>
          <w:lang w:eastAsia="zh-CN"/>
        </w:rPr>
        <w:t>法律、行政法规以及企业章程规定应当进行资产评估的，应在交易前以水生态产品价值核算为基础，委托依法设立的符合条件的资产评估机构进行水生态产品资产评估。</w:t>
      </w:r>
    </w:p>
    <w:p w14:paraId="17C16A46">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楷体" w:hAnsi="楷体" w:eastAsia="楷体" w:cs="楷体"/>
          <w:spacing w:val="8"/>
          <w:sz w:val="32"/>
          <w:szCs w:val="32"/>
        </w:rPr>
      </w:pPr>
      <w:r>
        <w:rPr>
          <w:rFonts w:hint="default" w:ascii="黑体" w:hAnsi="黑体" w:eastAsia="黑体" w:cs="黑体"/>
          <w:snapToGrid w:val="0"/>
          <w:color w:val="000000"/>
          <w:spacing w:val="0"/>
          <w:kern w:val="0"/>
          <w:sz w:val="32"/>
          <w:szCs w:val="32"/>
          <w:lang w:val="en-US" w:eastAsia="en-US" w:bidi="ar-SA"/>
        </w:rPr>
        <w:t>第十四条</w:t>
      </w:r>
      <w:r>
        <w:rPr>
          <w:rFonts w:hint="eastAsia" w:ascii="楷体" w:hAnsi="楷体" w:eastAsia="楷体" w:cs="楷体"/>
          <w:snapToGrid w:val="0"/>
          <w:color w:val="000000"/>
          <w:spacing w:val="8"/>
          <w:kern w:val="0"/>
          <w:sz w:val="32"/>
          <w:szCs w:val="32"/>
          <w:lang w:val="en-US" w:eastAsia="zh-CN" w:bidi="ar-SA"/>
        </w:rPr>
        <w:t xml:space="preserve"> </w:t>
      </w:r>
      <w:r>
        <w:rPr>
          <w:rFonts w:hint="eastAsia" w:ascii="Times New Roman" w:hAnsi="Times New Roman" w:eastAsia="仿宋_GB2312" w:cs="Times New Roman"/>
          <w:snapToGrid/>
          <w:spacing w:val="0"/>
          <w:kern w:val="2"/>
          <w:sz w:val="32"/>
          <w:szCs w:val="32"/>
          <w:lang w:eastAsia="zh-CN"/>
        </w:rPr>
        <w:t>在符合法律法规规定的情况下，可通过协议转让等方式交易；也委托第三方代理机构通过省、市、县公共资源交易中心等平台开展交易。</w:t>
      </w:r>
    </w:p>
    <w:p w14:paraId="5113B81F">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hint="eastAsia" w:ascii="仿宋" w:hAnsi="仿宋" w:eastAsia="仿宋" w:cs="仿宋"/>
          <w:sz w:val="32"/>
          <w:szCs w:val="32"/>
          <w:lang w:eastAsia="zh-CN"/>
        </w:rPr>
      </w:pPr>
      <w:r>
        <w:rPr>
          <w:rFonts w:ascii="黑体" w:hAnsi="黑体" w:eastAsia="黑体" w:cs="黑体"/>
          <w:spacing w:val="0"/>
          <w:sz w:val="32"/>
          <w:szCs w:val="32"/>
        </w:rPr>
        <w:t>第十五条</w:t>
      </w:r>
      <w:r>
        <w:rPr>
          <w:rFonts w:ascii="楷体" w:hAnsi="楷体" w:eastAsia="楷体" w:cs="楷体"/>
          <w:spacing w:val="-31"/>
          <w:sz w:val="32"/>
          <w:szCs w:val="32"/>
        </w:rPr>
        <w:t xml:space="preserve"> </w:t>
      </w:r>
      <w:r>
        <w:rPr>
          <w:rFonts w:hint="default" w:ascii="Times New Roman" w:hAnsi="Times New Roman" w:eastAsia="仿宋_GB2312" w:cs="Times New Roman"/>
          <w:snapToGrid/>
          <w:spacing w:val="0"/>
          <w:kern w:val="2"/>
          <w:sz w:val="32"/>
          <w:szCs w:val="32"/>
          <w:lang w:eastAsia="zh-CN"/>
        </w:rPr>
        <w:t>在达成交易</w:t>
      </w:r>
      <w:r>
        <w:rPr>
          <w:rFonts w:hint="eastAsia" w:ascii="Times New Roman" w:hAnsi="Times New Roman" w:eastAsia="仿宋_GB2312" w:cs="Times New Roman"/>
          <w:snapToGrid/>
          <w:spacing w:val="0"/>
          <w:kern w:val="2"/>
          <w:sz w:val="32"/>
          <w:szCs w:val="32"/>
          <w:lang w:eastAsia="zh-CN"/>
        </w:rPr>
        <w:t>且公示无异议后，核发水生态产品交易凭证，并签订交易合同，合同应明确交易标的、数量、成交价格、交付方式、出让方和受让方的义务和责任、违约责任等。</w:t>
      </w:r>
    </w:p>
    <w:p w14:paraId="57100F54">
      <w:pPr>
        <w:keepNext w:val="0"/>
        <w:keepLines w:val="0"/>
        <w:pageBreakBefore w:val="0"/>
        <w:widowControl/>
        <w:kinsoku w:val="0"/>
        <w:wordWrap/>
        <w:overflowPunct/>
        <w:topLinePunct w:val="0"/>
        <w:autoSpaceDE/>
        <w:autoSpaceDN/>
        <w:bidi w:val="0"/>
        <w:adjustRightInd w:val="0"/>
        <w:snapToGrid w:val="0"/>
        <w:spacing w:line="560" w:lineRule="exact"/>
        <w:ind w:right="0" w:firstLine="640" w:firstLineChars="200"/>
        <w:jc w:val="both"/>
        <w:textAlignment w:val="baseline"/>
        <w:rPr>
          <w:rFonts w:ascii="仿宋" w:hAnsi="仿宋" w:eastAsia="仿宋" w:cs="仿宋"/>
          <w:sz w:val="32"/>
          <w:szCs w:val="32"/>
        </w:rPr>
      </w:pPr>
      <w:r>
        <w:rPr>
          <w:rFonts w:ascii="黑体" w:hAnsi="黑体" w:eastAsia="黑体" w:cs="黑体"/>
          <w:spacing w:val="0"/>
          <w:sz w:val="32"/>
          <w:szCs w:val="32"/>
        </w:rPr>
        <w:t>第十六条</w:t>
      </w:r>
      <w:r>
        <w:rPr>
          <w:rFonts w:ascii="楷体" w:hAnsi="楷体" w:eastAsia="楷体" w:cs="楷体"/>
          <w:spacing w:val="25"/>
          <w:sz w:val="32"/>
          <w:szCs w:val="32"/>
        </w:rPr>
        <w:t xml:space="preserve"> </w:t>
      </w:r>
      <w:r>
        <w:rPr>
          <w:rFonts w:hint="eastAsia" w:ascii="Times New Roman" w:hAnsi="Times New Roman" w:eastAsia="仿宋_GB2312" w:cs="Times New Roman"/>
          <w:snapToGrid/>
          <w:spacing w:val="0"/>
          <w:kern w:val="2"/>
          <w:sz w:val="32"/>
          <w:szCs w:val="32"/>
          <w:lang w:eastAsia="zh-CN"/>
        </w:rPr>
        <w:t>建立水生态产品价值实现反哺机制，有不同参与主体的，合同中应明确出让资金的分配比例，促进水生态系统功能持续增强以及区域共同富裕。</w:t>
      </w:r>
    </w:p>
    <w:p w14:paraId="7DBC39C7">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hint="eastAsia" w:ascii="黑体" w:hAnsi="黑体" w:eastAsia="黑体" w:cs="黑体"/>
          <w:bCs w:val="0"/>
          <w:sz w:val="32"/>
          <w:szCs w:val="32"/>
          <w:lang w:eastAsia="zh-CN"/>
        </w:rPr>
      </w:pPr>
      <w:r>
        <w:rPr>
          <w:rFonts w:hint="eastAsia" w:ascii="黑体" w:hAnsi="黑体" w:eastAsia="黑体" w:cs="黑体"/>
          <w:b w:val="0"/>
          <w:bCs w:val="0"/>
          <w:spacing w:val="0"/>
          <w:sz w:val="32"/>
          <w:szCs w:val="32"/>
          <w:lang w:eastAsia="zh-CN"/>
        </w:rPr>
        <w:t>第四章</w:t>
      </w:r>
      <w:r>
        <w:rPr>
          <w:rFonts w:hint="eastAsia" w:ascii="黑体" w:hAnsi="黑体" w:eastAsia="黑体" w:cs="黑体"/>
          <w:bCs w:val="0"/>
          <w:spacing w:val="0"/>
          <w:sz w:val="32"/>
          <w:szCs w:val="32"/>
          <w:lang w:eastAsia="zh-CN"/>
        </w:rPr>
        <w:t xml:space="preserve">  </w:t>
      </w:r>
      <w:r>
        <w:rPr>
          <w:rFonts w:hint="eastAsia" w:ascii="黑体" w:hAnsi="黑体" w:eastAsia="黑体" w:cs="黑体"/>
          <w:b w:val="0"/>
          <w:bCs w:val="0"/>
          <w:spacing w:val="0"/>
          <w:sz w:val="32"/>
          <w:szCs w:val="32"/>
          <w:lang w:eastAsia="zh-CN"/>
        </w:rPr>
        <w:t>监管机制</w:t>
      </w:r>
    </w:p>
    <w:p w14:paraId="7363AE8E">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baseline"/>
        <w:rPr>
          <w:rFonts w:hint="eastAsia" w:ascii="Times New Roman" w:hAnsi="Times New Roman" w:eastAsia="仿宋_GB2312" w:cs="Times New Roman"/>
          <w:snapToGrid/>
          <w:spacing w:val="0"/>
          <w:kern w:val="2"/>
          <w:sz w:val="32"/>
          <w:szCs w:val="32"/>
          <w:lang w:eastAsia="zh-CN"/>
        </w:rPr>
      </w:pPr>
      <w:r>
        <w:rPr>
          <w:rFonts w:ascii="黑体" w:hAnsi="黑体" w:eastAsia="黑体" w:cs="黑体"/>
          <w:spacing w:val="0"/>
          <w:sz w:val="32"/>
          <w:szCs w:val="32"/>
        </w:rPr>
        <w:t>第十七条</w:t>
      </w:r>
      <w:r>
        <w:rPr>
          <w:rFonts w:ascii="楷体" w:hAnsi="楷体" w:eastAsia="楷体" w:cs="楷体"/>
          <w:spacing w:val="26"/>
          <w:sz w:val="32"/>
          <w:szCs w:val="32"/>
        </w:rPr>
        <w:t xml:space="preserve"> </w:t>
      </w:r>
      <w:r>
        <w:rPr>
          <w:rFonts w:hint="eastAsia" w:ascii="Times New Roman" w:hAnsi="Times New Roman" w:eastAsia="仿宋_GB2312" w:cs="Times New Roman"/>
          <w:snapToGrid/>
          <w:spacing w:val="0"/>
          <w:kern w:val="2"/>
          <w:sz w:val="32"/>
          <w:szCs w:val="32"/>
          <w:lang w:eastAsia="zh-CN"/>
        </w:rPr>
        <w:t>建立健全资金监管机制，水生态产品收益资金实行专款专用，专门用于水利建设管理、水生态修复、水环境保护和区域共富等方面，定期对收益资金使用进行审计和评估，确保资金使用的合规性和透明度。</w:t>
      </w:r>
    </w:p>
    <w:p w14:paraId="07AFEAA2">
      <w:pPr>
        <w:keepNext w:val="0"/>
        <w:keepLines w:val="0"/>
        <w:pageBreakBefore w:val="0"/>
        <w:widowControl/>
        <w:kinsoku w:val="0"/>
        <w:wordWrap/>
        <w:overflowPunct/>
        <w:topLinePunct w:val="0"/>
        <w:autoSpaceDE/>
        <w:autoSpaceDN/>
        <w:bidi w:val="0"/>
        <w:adjustRightInd w:val="0"/>
        <w:snapToGrid w:val="0"/>
        <w:spacing w:line="560" w:lineRule="exact"/>
        <w:ind w:left="0" w:right="0" w:firstLine="640" w:firstLineChars="200"/>
        <w:jc w:val="both"/>
        <w:textAlignment w:val="baseline"/>
        <w:rPr>
          <w:b w:val="0"/>
          <w:bCs w:val="0"/>
          <w:sz w:val="32"/>
          <w:szCs w:val="32"/>
        </w:rPr>
      </w:pPr>
      <w:r>
        <w:rPr>
          <w:rFonts w:ascii="黑体" w:hAnsi="黑体" w:eastAsia="黑体" w:cs="黑体"/>
          <w:spacing w:val="0"/>
          <w:sz w:val="32"/>
          <w:szCs w:val="32"/>
        </w:rPr>
        <w:t>第十八条</w:t>
      </w:r>
      <w:r>
        <w:rPr>
          <w:rFonts w:ascii="楷体" w:hAnsi="楷体" w:eastAsia="楷体" w:cs="楷体"/>
          <w:spacing w:val="26"/>
          <w:sz w:val="32"/>
          <w:szCs w:val="32"/>
        </w:rPr>
        <w:t xml:space="preserve"> </w:t>
      </w:r>
      <w:r>
        <w:rPr>
          <w:rFonts w:hint="eastAsia" w:ascii="Times New Roman" w:hAnsi="Times New Roman" w:eastAsia="仿宋_GB2312" w:cs="Times New Roman"/>
          <w:snapToGrid/>
          <w:spacing w:val="0"/>
          <w:kern w:val="2"/>
          <w:sz w:val="32"/>
          <w:szCs w:val="32"/>
          <w:lang w:eastAsia="zh-CN"/>
        </w:rPr>
        <w:t>水生态产品交易实行全过程监管，并接受社会监</w:t>
      </w:r>
      <w:r>
        <w:rPr>
          <w:rFonts w:hint="default" w:ascii="Times New Roman" w:hAnsi="Times New Roman" w:eastAsia="仿宋_GB2312" w:cs="Times New Roman"/>
          <w:snapToGrid/>
          <w:spacing w:val="0"/>
          <w:kern w:val="2"/>
          <w:sz w:val="32"/>
          <w:szCs w:val="32"/>
          <w:lang w:eastAsia="zh-CN"/>
        </w:rPr>
        <w:t>督</w:t>
      </w:r>
      <w:r>
        <w:rPr>
          <w:rFonts w:hint="eastAsia" w:ascii="Times New Roman" w:hAnsi="Times New Roman" w:eastAsia="仿宋_GB2312" w:cs="Times New Roman"/>
          <w:snapToGrid/>
          <w:spacing w:val="0"/>
          <w:kern w:val="2"/>
          <w:sz w:val="32"/>
          <w:szCs w:val="32"/>
          <w:lang w:eastAsia="zh-CN"/>
        </w:rPr>
        <w:t>，做到水生态产品信息可查询、质量可追溯、责任可追查，确保交易过程公平、公开、公正。</w:t>
      </w:r>
    </w:p>
    <w:p w14:paraId="05644554">
      <w:pPr>
        <w:keepNext w:val="0"/>
        <w:keepLines w:val="0"/>
        <w:pageBreakBefore w:val="0"/>
        <w:widowControl/>
        <w:kinsoku w:val="0"/>
        <w:wordWrap/>
        <w:overflowPunct/>
        <w:topLinePunct w:val="0"/>
        <w:autoSpaceDE/>
        <w:autoSpaceDN/>
        <w:bidi w:val="0"/>
        <w:adjustRightInd w:val="0"/>
        <w:snapToGrid w:val="0"/>
        <w:spacing w:line="560" w:lineRule="exact"/>
        <w:ind w:left="0"/>
        <w:jc w:val="center"/>
        <w:textAlignment w:val="baseline"/>
        <w:outlineLvl w:val="0"/>
        <w:rPr>
          <w:rFonts w:ascii="黑体" w:hAnsi="黑体" w:eastAsia="黑体" w:cs="黑体"/>
          <w:b w:val="0"/>
          <w:bCs w:val="0"/>
          <w:sz w:val="32"/>
          <w:szCs w:val="32"/>
        </w:rPr>
      </w:pPr>
      <w:r>
        <w:rPr>
          <w:rFonts w:ascii="黑体" w:hAnsi="黑体" w:eastAsia="黑体" w:cs="黑体"/>
          <w:b w:val="0"/>
          <w:bCs w:val="0"/>
          <w:spacing w:val="0"/>
          <w:sz w:val="32"/>
          <w:szCs w:val="32"/>
        </w:rPr>
        <w:t>第五章  附则</w:t>
      </w:r>
    </w:p>
    <w:p w14:paraId="33F917E9">
      <w:pPr>
        <w:keepNext w:val="0"/>
        <w:keepLines w:val="0"/>
        <w:pageBreakBefore w:val="0"/>
        <w:widowControl/>
        <w:kinsoku w:val="0"/>
        <w:wordWrap/>
        <w:overflowPunct/>
        <w:topLinePunct w:val="0"/>
        <w:bidi w:val="0"/>
        <w:adjustRightInd w:val="0"/>
        <w:snapToGrid w:val="0"/>
        <w:spacing w:line="560" w:lineRule="exact"/>
        <w:ind w:left="0" w:right="0" w:firstLine="640" w:firstLineChars="200"/>
        <w:jc w:val="both"/>
        <w:textAlignment w:val="baseline"/>
        <w:rPr>
          <w:rFonts w:ascii="仿宋" w:hAnsi="仿宋" w:eastAsia="仿宋" w:cs="仿宋"/>
          <w:spacing w:val="10"/>
          <w:sz w:val="32"/>
          <w:szCs w:val="32"/>
        </w:rPr>
      </w:pPr>
      <w:r>
        <w:rPr>
          <w:rFonts w:ascii="黑体" w:hAnsi="黑体" w:eastAsia="黑体" w:cs="黑体"/>
          <w:spacing w:val="0"/>
          <w:sz w:val="32"/>
          <w:szCs w:val="32"/>
        </w:rPr>
        <w:t>第十九条</w:t>
      </w:r>
      <w:r>
        <w:rPr>
          <w:rFonts w:ascii="楷体" w:hAnsi="楷体" w:eastAsia="楷体" w:cs="楷体"/>
          <w:spacing w:val="7"/>
          <w:sz w:val="32"/>
          <w:szCs w:val="32"/>
        </w:rPr>
        <w:t xml:space="preserve"> </w:t>
      </w:r>
      <w:r>
        <w:rPr>
          <w:rFonts w:hint="eastAsia" w:ascii="Times New Roman" w:hAnsi="Times New Roman" w:eastAsia="仿宋_GB2312" w:cs="Times New Roman"/>
          <w:snapToGrid/>
          <w:spacing w:val="0"/>
          <w:kern w:val="2"/>
          <w:sz w:val="32"/>
          <w:szCs w:val="32"/>
          <w:lang w:eastAsia="zh-CN"/>
        </w:rPr>
        <w:t>本办法由</w:t>
      </w:r>
      <w:r>
        <w:rPr>
          <w:rFonts w:hint="default" w:ascii="Times New Roman" w:hAnsi="Times New Roman" w:eastAsia="仿宋_GB2312" w:cs="Times New Roman"/>
          <w:snapToGrid/>
          <w:spacing w:val="0"/>
          <w:kern w:val="2"/>
          <w:sz w:val="32"/>
          <w:szCs w:val="32"/>
          <w:lang w:eastAsia="zh-CN"/>
        </w:rPr>
        <w:t>鄂州市</w:t>
      </w:r>
      <w:r>
        <w:rPr>
          <w:rFonts w:hint="eastAsia" w:ascii="Times New Roman" w:hAnsi="Times New Roman" w:eastAsia="仿宋_GB2312" w:cs="Times New Roman"/>
          <w:snapToGrid/>
          <w:spacing w:val="0"/>
          <w:kern w:val="2"/>
          <w:sz w:val="32"/>
          <w:szCs w:val="32"/>
          <w:lang w:eastAsia="zh-CN"/>
        </w:rPr>
        <w:t>人民政府办公室负责解释。</w:t>
      </w:r>
    </w:p>
    <w:p w14:paraId="67DFC876">
      <w:pPr>
        <w:keepNext w:val="0"/>
        <w:keepLines w:val="0"/>
        <w:pageBreakBefore w:val="0"/>
        <w:widowControl/>
        <w:kinsoku w:val="0"/>
        <w:wordWrap/>
        <w:overflowPunct/>
        <w:topLinePunct w:val="0"/>
        <w:bidi w:val="0"/>
        <w:adjustRightInd w:val="0"/>
        <w:snapToGrid w:val="0"/>
        <w:spacing w:line="560" w:lineRule="exact"/>
        <w:ind w:left="0" w:right="0" w:firstLine="640" w:firstLineChars="200"/>
        <w:jc w:val="both"/>
        <w:textAlignment w:val="baseline"/>
      </w:pPr>
      <w:r>
        <w:rPr>
          <w:rFonts w:ascii="黑体" w:hAnsi="黑体" w:eastAsia="黑体" w:cs="黑体"/>
          <w:spacing w:val="0"/>
          <w:sz w:val="32"/>
          <w:szCs w:val="32"/>
        </w:rPr>
        <w:t>第二十条</w:t>
      </w:r>
      <w:r>
        <w:rPr>
          <w:rFonts w:ascii="楷体" w:hAnsi="楷体" w:eastAsia="楷体" w:cs="楷体"/>
          <w:spacing w:val="5"/>
          <w:sz w:val="32"/>
          <w:szCs w:val="32"/>
        </w:rPr>
        <w:t xml:space="preserve"> </w:t>
      </w:r>
      <w:r>
        <w:rPr>
          <w:rFonts w:hint="eastAsia" w:ascii="Times New Roman" w:hAnsi="Times New Roman" w:eastAsia="仿宋_GB2312" w:cs="Times New Roman"/>
          <w:snapToGrid/>
          <w:spacing w:val="0"/>
          <w:kern w:val="2"/>
          <w:sz w:val="32"/>
          <w:szCs w:val="32"/>
          <w:lang w:eastAsia="zh-CN"/>
        </w:rPr>
        <w:t>本办法自发布之日起施行。</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B5624AB-FFCF-452D-98DA-BF2F67631629}"/>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CAB466A8-A77F-47E8-8F7F-1A99A39F64A8}"/>
  </w:font>
  <w:font w:name="方正小标宋简体">
    <w:panose1 w:val="02000000000000000000"/>
    <w:charset w:val="86"/>
    <w:family w:val="auto"/>
    <w:pitch w:val="default"/>
    <w:sig w:usb0="A00002BF" w:usb1="184F6CFA" w:usb2="00000012" w:usb3="00000000" w:csb0="00040001" w:csb1="00000000"/>
    <w:embedRegular r:id="rId3" w:fontKey="{BE17D37D-CB39-472F-AAC5-80CCF7523CDC}"/>
  </w:font>
  <w:font w:name="楷体">
    <w:panose1 w:val="02010609060101010101"/>
    <w:charset w:val="86"/>
    <w:family w:val="auto"/>
    <w:pitch w:val="default"/>
    <w:sig w:usb0="800002BF" w:usb1="38CF7CFA" w:usb2="00000016" w:usb3="00000000" w:csb0="00040001" w:csb1="00000000"/>
    <w:embedRegular r:id="rId4" w:fontKey="{E4FEB2D3-FD92-4099-A378-A26F0DB51368}"/>
  </w:font>
  <w:font w:name="仿宋_GB2312">
    <w:panose1 w:val="02010609030101010101"/>
    <w:charset w:val="86"/>
    <w:family w:val="modern"/>
    <w:pitch w:val="default"/>
    <w:sig w:usb0="00000001" w:usb1="080E0000" w:usb2="00000000" w:usb3="00000000" w:csb0="00040000" w:csb1="00000000"/>
    <w:embedRegular r:id="rId5" w:fontKey="{77BEAC0C-B436-4C2D-9714-C7363D27C08E}"/>
  </w:font>
  <w:font w:name="仿宋">
    <w:panose1 w:val="02010609060101010101"/>
    <w:charset w:val="86"/>
    <w:family w:val="auto"/>
    <w:pitch w:val="default"/>
    <w:sig w:usb0="800002BF" w:usb1="38CF7CFA" w:usb2="00000016" w:usb3="00000000" w:csb0="00040001" w:csb1="00000000"/>
    <w:embedRegular r:id="rId6" w:fontKey="{9F2AFCBB-B9ED-4A35-8601-78253DD4978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70080B"/>
    <w:rsid w:val="020F585A"/>
    <w:rsid w:val="07CE482F"/>
    <w:rsid w:val="18FF6049"/>
    <w:rsid w:val="2C843DE8"/>
    <w:rsid w:val="3770080B"/>
    <w:rsid w:val="3D6A7D83"/>
    <w:rsid w:val="52C140E8"/>
    <w:rsid w:val="52DF2040"/>
    <w:rsid w:val="58112E7E"/>
    <w:rsid w:val="5DFC1EDA"/>
    <w:rsid w:val="5FF165AF"/>
    <w:rsid w:val="67650933"/>
    <w:rsid w:val="71566079"/>
    <w:rsid w:val="794B223C"/>
    <w:rsid w:val="7B225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1430</Words>
  <Characters>1430</Characters>
  <Lines>0</Lines>
  <Paragraphs>0</Paragraphs>
  <TotalTime>5</TotalTime>
  <ScaleCrop>false</ScaleCrop>
  <LinksUpToDate>false</LinksUpToDate>
  <CharactersWithSpaces>1460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2025-02-23T06:47:00Z</dcterms:created>
  <dc:creator>yu_bing</dc:creator>
  <cp:lastModifiedBy>Ray</cp:lastModifiedBy>
  <dcterms:modified xsi:type="dcterms:W3CDTF">2025-03-13T02:06:14Z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EF4F60D0BAA84E948B181F182CA27AEE_11</vt:lpwstr>
  </property>
  <property fmtid="{D5CDD505-2E9C-101B-9397-08002B2CF9AE}" pid="4" name="KSOTemplateDocerSaveRecord">
    <vt:lpwstr>eyJoZGlkIjoiMDI5ZTRlODFiMDVjZmQxM2E3ODM4ODcyZDAxOWI0MjIiLCJ1c2VySWQiOiIyNzgzOTM1NzgifQ==</vt:lpwstr>
  </property>
</Properties>
</file>